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2" w:rsidRPr="00AB1C82" w:rsidRDefault="00AB1C82" w:rsidP="00AB1C82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7"/>
        </w:rPr>
        <w:t>2022年信阳市机关事务中心部门预算公开说明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Arial" w:eastAsia="宋体" w:hAnsi="Arial" w:cs="Arial"/>
          <w:color w:val="666666"/>
          <w:kern w:val="0"/>
          <w:sz w:val="23"/>
          <w:szCs w:val="23"/>
        </w:rPr>
        <w:t xml:space="preserve"> 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4"/>
        </w:rPr>
        <w:t>目</w:t>
      </w:r>
      <w:r w:rsidRPr="00AB1C82">
        <w:rPr>
          <w:rFonts w:ascii="宋体" w:eastAsia="宋体" w:hAnsi="宋体" w:cs="宋体" w:hint="eastAsia"/>
          <w:b/>
          <w:bCs/>
          <w:color w:val="666666"/>
          <w:kern w:val="0"/>
          <w:sz w:val="44"/>
        </w:rPr>
        <w:t>  </w:t>
      </w:r>
      <w:r w:rsidRPr="00AB1C82">
        <w:rPr>
          <w:rFonts w:ascii="楷体" w:eastAsia="楷体" w:hAnsi="楷体" w:cs="楷体" w:hint="eastAsia"/>
          <w:b/>
          <w:bCs/>
          <w:color w:val="666666"/>
          <w:kern w:val="0"/>
          <w:sz w:val="44"/>
        </w:rPr>
        <w:t xml:space="preserve"> </w:t>
      </w: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4"/>
        </w:rPr>
        <w:t>录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Arial" w:eastAsia="宋体" w:hAnsi="Arial" w:cs="Arial"/>
          <w:color w:val="666666"/>
          <w:kern w:val="0"/>
          <w:sz w:val="23"/>
          <w:szCs w:val="23"/>
        </w:rPr>
        <w:br/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第一部分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机关事务中心基本概况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一、机关事务中心主要职责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二、机关事务中心机构设置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三、部门预算单位构成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第二部分2021年度部门预算情况说明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第三部分名词解释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财政拨款收入、基本支出、项目支出、“三公”经费、机关运行经费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附件： 机关事务中心2022年度部门预算表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一、部门收支总体情况表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二、部门收入总体情况表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三、部门支出总体情况表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四、财政拨款收支总体情况表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五、一般公共预算支出情况表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六、一般公共预算基本支出情况表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七、一般公共预算“三公”经费支出情况表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八、政府性基金预算支出情况表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九、项目支出表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十、部门（单位）整体绩效目标表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十一、部门预算项目绩效目标表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Arial" w:eastAsia="宋体" w:hAnsi="Arial" w:cs="Arial"/>
          <w:color w:val="666666"/>
          <w:kern w:val="0"/>
          <w:sz w:val="23"/>
          <w:szCs w:val="23"/>
        </w:rPr>
        <w:t xml:space="preserve"> 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0"/>
        </w:rPr>
        <w:t>第一部分</w:t>
      </w:r>
      <w:r w:rsidRPr="00AB1C82">
        <w:rPr>
          <w:rFonts w:ascii="宋体" w:eastAsia="宋体" w:hAnsi="宋体" w:cs="宋体" w:hint="eastAsia"/>
          <w:b/>
          <w:bCs/>
          <w:color w:val="666666"/>
          <w:kern w:val="0"/>
          <w:sz w:val="40"/>
        </w:rPr>
        <w:t> </w:t>
      </w:r>
      <w:r w:rsidRPr="00AB1C82">
        <w:rPr>
          <w:rFonts w:ascii="楷体" w:eastAsia="楷体" w:hAnsi="楷体" w:cs="楷体" w:hint="eastAsia"/>
          <w:b/>
          <w:bCs/>
          <w:color w:val="666666"/>
          <w:kern w:val="0"/>
          <w:sz w:val="40"/>
        </w:rPr>
        <w:t xml:space="preserve"> </w:t>
      </w:r>
      <w:r w:rsidRPr="00AB1C82">
        <w:rPr>
          <w:rFonts w:ascii="宋体" w:eastAsia="宋体" w:hAnsi="宋体" w:cs="宋体" w:hint="eastAsia"/>
          <w:b/>
          <w:bCs/>
          <w:color w:val="666666"/>
          <w:kern w:val="0"/>
          <w:sz w:val="40"/>
        </w:rPr>
        <w:t> </w:t>
      </w:r>
      <w:r w:rsidRPr="00AB1C82">
        <w:rPr>
          <w:rFonts w:ascii="楷体" w:eastAsia="楷体" w:hAnsi="楷体" w:cs="楷体" w:hint="eastAsia"/>
          <w:b/>
          <w:bCs/>
          <w:color w:val="666666"/>
          <w:kern w:val="0"/>
          <w:sz w:val="40"/>
        </w:rPr>
        <w:t xml:space="preserve"> </w:t>
      </w: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0"/>
        </w:rPr>
        <w:t>机关事务中心概况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lastRenderedPageBreak/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br/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一、信阳市机关事务中心主要职责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信阳市机关事务中心前身为信阳市机关事务管理局，2007年11月成立，2008年12月市行政办公区启用后正式运行，为市政府直属的、参照公务员管理的正处级事业单位。2019年按照全市机构改革要求，更名为信阳市机关事务中心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市机关事务中心主要职责：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1. 负责拟定全市有关机关事务中心的规章制度，制定统一的机关后勤服务管理制度，确定机关后勤服务项目和标准；指导和监督市直各部门后勤服务工作，指导各县区机关事务相关工作。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2. 负责市级重要公务、政务接待工作；指导、协调全市公务、政务接待工作。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3. 负责市本级公共机构节能监督管理工作，具体负责制定公共机构节能规划、能源消耗定额并督促检查；指导全市公共机构制定年度节能目标和实施方案，加强能源消费计量和监测管理，并对能源消耗数据进行汇总和分析研究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4. 会同相关部门制定全市机关事业单位公务车辆管理办法并监督执行；会同纪检、监察、财政等部门管理全市机关事业单位的公务用车；负责全市一般公务用车平台建设和管理工作。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5. 负责全市党政机关办公用房的监督管理工作。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6. 负责市四大班子领导和机关的后勤服务工作。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7. 依法统筹安排机关用地；负责行政办公区及办公楼安全保卫、消防、社会管理综合治理及公共设施的管理服务工作。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8. 依法制定和组织实施机关资产管理的具体制度，制定实物定额和服务标准，指导协调办公用房管理工作。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9. 承办市委、市人大、市政府、市政协领导交办的其他事项。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二、局机构设置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信阳市机关事务中心是参</w:t>
      </w:r>
      <w:r w:rsidR="00283E3F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照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公务员管理</w:t>
      </w:r>
      <w:r w:rsidR="00283E3F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的事业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单位，机关及归口预算管理单位共有编制63人，其中局机关20人为参照公务员管理事业编制，所属于三个二机构43人为事业编制；现有在职人员63人，离退休人员2人。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内设办公室、人事科、接待科、计划财务科、基建物业科、保卫科、车辆管理科、公共机构节能监督管理科、办公用房管理科、采购科10个职能科室。下属市直行政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lastRenderedPageBreak/>
        <w:t>办公区服务管理中心、市直房产物业管理维修中心、百花之声管理中心（信阳市行政会务中心）3个二级机构。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三、机关事务中心预算算单位构成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机关事务中心部门预算为局机关本级预算没有所属单位，公开的就是本级预算。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Arial" w:eastAsia="宋体" w:hAnsi="Arial" w:cs="Arial"/>
          <w:color w:val="666666"/>
          <w:kern w:val="0"/>
          <w:sz w:val="23"/>
          <w:szCs w:val="23"/>
        </w:rPr>
        <w:t xml:space="preserve"> 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0"/>
        </w:rPr>
        <w:t>第二部分</w:t>
      </w:r>
      <w:r w:rsidRPr="00AB1C82">
        <w:rPr>
          <w:rFonts w:ascii="宋体" w:eastAsia="宋体" w:hAnsi="宋体" w:cs="宋体" w:hint="eastAsia"/>
          <w:b/>
          <w:bCs/>
          <w:color w:val="666666"/>
          <w:kern w:val="0"/>
          <w:sz w:val="40"/>
        </w:rPr>
        <w:t> </w:t>
      </w:r>
      <w:r w:rsidRPr="00AB1C82">
        <w:rPr>
          <w:rFonts w:ascii="楷体" w:eastAsia="楷体" w:hAnsi="楷体" w:cs="楷体" w:hint="eastAsia"/>
          <w:b/>
          <w:bCs/>
          <w:color w:val="666666"/>
          <w:kern w:val="0"/>
          <w:sz w:val="40"/>
        </w:rPr>
        <w:t xml:space="preserve"> </w:t>
      </w:r>
      <w:r w:rsidRPr="00AB1C82">
        <w:rPr>
          <w:rFonts w:ascii="宋体" w:eastAsia="宋体" w:hAnsi="宋体" w:cs="宋体" w:hint="eastAsia"/>
          <w:b/>
          <w:bCs/>
          <w:color w:val="666666"/>
          <w:kern w:val="0"/>
          <w:sz w:val="40"/>
        </w:rPr>
        <w:t> </w:t>
      </w:r>
      <w:r w:rsidRPr="00AB1C82">
        <w:rPr>
          <w:rFonts w:ascii="楷体" w:eastAsia="楷体" w:hAnsi="楷体" w:cs="楷体" w:hint="eastAsia"/>
          <w:b/>
          <w:bCs/>
          <w:color w:val="666666"/>
          <w:kern w:val="0"/>
          <w:sz w:val="40"/>
        </w:rPr>
        <w:t xml:space="preserve"> </w:t>
      </w: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0"/>
        </w:rPr>
        <w:t>机关事务中心2022年度部门预算情况说明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br/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一、收入支出预算总体情况说明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2022年收入总计4199.7036万元，支出总计4199.7036万元，与2021年预算相比，收入减少857.3491万元，下降16.95%。主要原因：项目支出经费减少;支出减少857.3491万元，下降16.95%。主要原因：2021年一次性完成的项目根据工作安排已结束，2022年不再安排相关经费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二、收入预算总体情况说明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机关事务中心2022年收入合计4199.7036万元，其中：一般公共预算4199.7036万元; 政府性基金收入0万元；专户管理的教育收费0万元; 国有资本经营预算收入0万元；其他收入0万元；部门结转资金0万元。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三、支出预算总体情况说明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机关事务中心2022年支出合计4199.7036万元，其中：基本支出666.9836万元，占15.88%；项目支出3532.72万元，占84.12%。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四、财政拨款收入支出预算总体情况说明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机关事务中心年财政拨款收支预算4199.7036万元，与 2021年相比，财政拨款收支预算减少857.3491万元，下降16.95%，主要原因：2021年一次性完成的项目根据工作安排已结束，2022年不再安排相关经费。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五、一般公共预算支出预算情况说明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机关事务中心2022年一般公共预算支出年初预算为4199.7036万元。主要用于以下方面：人员工资及商品服务支出547.0940万元，占年初预算的13.03%；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lastRenderedPageBreak/>
        <w:t>社会保障和就业支出（类）53.0523万元，占年初预算1.26%；卫生健康支出（类）27.3276万元，占年初预算0.65%；运转类项目支出3532.72万元，占年初预算84.12%；住房保障支出（类）39.5097万元，占年初预算0.94%。、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六、一般公共预算基本支出预算情况说明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2022年一般公共预算基本支出666.9836万元，其中：人员经费548.4174万元，主要包括：基本工资、津贴补贴、奖金、社会保障缴费、绩效工资、离休费、退休费、遗属补助、住房公积金等；公用经费118.5661万元，主要包括：办公费、印刷费、咨询费、手续费、水费、电费、邮电费、取暖费、物业管理费、差旅费、因公出国（境）费、维修（护）费、租赁费、会议费、培训费、公务接待费、专用材料费、劳务费、工会经费、福利费、公务用车运行维护费、其他交通费用等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七、政府性基金预算支出预算情况说明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2022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年无使用政府性基金预算拨款安排的支出。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八、 “三公”经费支出预算情况说明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t xml:space="preserve"> 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机关事务中心2022年“三公”经费预算为68万元。2022年“三公”经费支出预算数比 2021年增加20万元。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具体支出情况如下：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（一）因公出国（境）费0万元，主要用于单位工作人员公务出国（境）的住宿费、旅费、伙食补助费、杂费、培训费等支出。预算数与 2021年相比增加为0万元。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（二）公务用车购置及运行费60万元，其中，公务用车购置费0万元；公务用车运行维护费60万元，主要用于开展工作所需公务用车的燃料费、维修费、过路过桥费、保险费、安全奖励费用等支出。公务用车购置费预算数与 2021年相比增加为0万元，主要原因：无。公务用车运行维护费预算数与 2021年相比增加为0万元。主要原因：为满足公务接待要求，2022年公务用车保有量为15量，购置及运行费为每辆车4万元。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（三）公务接待费8万元，主要用于按规定开支的各类公务接待（含外宾接待）支出。预算数与 2021年相比增加为0万元。主要原因：按照中央国务院八项规定和省委省政府厉行节约的相关规定要求，严格管控“三公”经费支出。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br/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lastRenderedPageBreak/>
        <w:t>九、其他重要事项情况说明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（一）机关运行经费支出情况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机关事务中心2022年机关运行经费支出预算666.9836万元，主要保障保障机关人员工资发放、机构正常运转及正常履职，完成预算年度主要工作任务需要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（二）政府采购支出情况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机关事务中心2022年没有政府采购预算支出。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（三）绩效目标设置情况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机关事务中心2022年预算项目均按要求编制了部门整体和项目绩效目标，从项目产出、项目效益、满意度等方面设置了绩效指标，综合反映项目预期完成的数量、实效、质量，预期达到的社会经济效益、可持续影响以及服务对象满意度等情况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（四）国有资产占用情况。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2021年期末，我局共有车辆15辆，其中：一般公务用车1辆、一般执法执勤用车0辆、特种专业技术用车0辆，其他用车14辆，其他用车主要是公务接待用车；单价50万元以上通用设备0台（套），单位价值100万元以上专用设备0台（套）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Arial" w:eastAsia="宋体" w:hAnsi="Arial" w:cs="Arial"/>
          <w:color w:val="666666"/>
          <w:kern w:val="0"/>
          <w:sz w:val="23"/>
          <w:szCs w:val="23"/>
        </w:rPr>
        <w:t xml:space="preserve"> 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0"/>
        </w:rPr>
        <w:t>第三部分</w:t>
      </w:r>
      <w:r w:rsidRPr="00AB1C82">
        <w:rPr>
          <w:rFonts w:ascii="宋体" w:eastAsia="宋体" w:hAnsi="宋体" w:cs="宋体" w:hint="eastAsia"/>
          <w:b/>
          <w:bCs/>
          <w:color w:val="666666"/>
          <w:kern w:val="0"/>
          <w:sz w:val="40"/>
        </w:rPr>
        <w:t> </w:t>
      </w:r>
      <w:r w:rsidRPr="00AB1C82">
        <w:rPr>
          <w:rFonts w:ascii="楷体" w:eastAsia="楷体" w:hAnsi="楷体" w:cs="楷体" w:hint="eastAsia"/>
          <w:b/>
          <w:bCs/>
          <w:color w:val="666666"/>
          <w:kern w:val="0"/>
          <w:sz w:val="40"/>
        </w:rPr>
        <w:t xml:space="preserve"> </w:t>
      </w:r>
      <w:r w:rsidRPr="00AB1C82">
        <w:rPr>
          <w:rFonts w:ascii="宋体" w:eastAsia="宋体" w:hAnsi="宋体" w:cs="宋体" w:hint="eastAsia"/>
          <w:b/>
          <w:bCs/>
          <w:color w:val="666666"/>
          <w:kern w:val="0"/>
          <w:sz w:val="40"/>
        </w:rPr>
        <w:t> </w:t>
      </w:r>
      <w:r w:rsidRPr="00AB1C82">
        <w:rPr>
          <w:rFonts w:ascii="楷体" w:eastAsia="楷体" w:hAnsi="楷体" w:cs="楷体" w:hint="eastAsia"/>
          <w:b/>
          <w:bCs/>
          <w:color w:val="666666"/>
          <w:kern w:val="0"/>
          <w:sz w:val="40"/>
        </w:rPr>
        <w:t xml:space="preserve"> </w:t>
      </w:r>
      <w:r w:rsidRPr="00AB1C82">
        <w:rPr>
          <w:rFonts w:ascii="楷体" w:eastAsia="楷体" w:hAnsi="楷体" w:cs="Arial" w:hint="eastAsia"/>
          <w:b/>
          <w:bCs/>
          <w:color w:val="666666"/>
          <w:kern w:val="0"/>
          <w:sz w:val="40"/>
        </w:rPr>
        <w:t>名词解释</w:t>
      </w:r>
    </w:p>
    <w:p w:rsidR="00AB1C82" w:rsidRPr="00AB1C82" w:rsidRDefault="00AB1C82" w:rsidP="00AB1C82">
      <w:pPr>
        <w:widowControl/>
        <w:shd w:val="clear" w:color="auto" w:fill="FFFFFF"/>
        <w:spacing w:line="469" w:lineRule="atLeast"/>
        <w:rPr>
          <w:rFonts w:ascii="Arial" w:eastAsia="宋体" w:hAnsi="Arial" w:cs="Arial"/>
          <w:color w:val="666666"/>
          <w:kern w:val="0"/>
          <w:sz w:val="23"/>
          <w:szCs w:val="23"/>
        </w:rPr>
      </w:pPr>
      <w:r w:rsidRPr="00AB1C82">
        <w:rPr>
          <w:rFonts w:ascii="Arial" w:eastAsia="宋体" w:hAnsi="Arial" w:cs="Arial"/>
          <w:color w:val="666666"/>
          <w:kern w:val="0"/>
          <w:sz w:val="23"/>
          <w:szCs w:val="23"/>
        </w:rPr>
        <w:br/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一、财政拨款收入：是指省级财政当年拨付的资金。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二、基本支出：是指为保障机构正常运转、完成日常工作任务所必需的开支，其内容包括人员经费和日常公用经费两部分。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三、项目支出：是指在基本支出之外，为完成特定的行政工作任务或事业发展目标所发生的支出。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  <w:t>四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lastRenderedPageBreak/>
        <w:t>五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br/>
      </w:r>
      <w:r w:rsidRPr="00AB1C82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 </w:t>
      </w:r>
      <w:r w:rsidRPr="00AB1C82">
        <w:rPr>
          <w:rFonts w:ascii="楷体" w:eastAsia="楷体" w:hAnsi="楷体" w:cs="楷体" w:hint="eastAsia"/>
          <w:color w:val="666666"/>
          <w:kern w:val="0"/>
          <w:sz w:val="23"/>
          <w:szCs w:val="23"/>
        </w:rPr>
        <w:br/>
      </w:r>
      <w:r w:rsidRPr="00AB1C82">
        <w:rPr>
          <w:rFonts w:ascii="楷体" w:eastAsia="楷体" w:hAnsi="楷体" w:cs="Arial" w:hint="eastAsia"/>
          <w:color w:val="666666"/>
          <w:kern w:val="0"/>
          <w:sz w:val="23"/>
          <w:szCs w:val="23"/>
        </w:rPr>
        <w:t>信阳市机关事务中心2022年度部门预算表</w:t>
      </w:r>
    </w:p>
    <w:tbl>
      <w:tblPr>
        <w:tblW w:w="6750" w:type="dxa"/>
        <w:tblCellMar>
          <w:left w:w="0" w:type="dxa"/>
          <w:right w:w="0" w:type="dxa"/>
        </w:tblCellMar>
        <w:tblLook w:val="04A0"/>
      </w:tblPr>
      <w:tblGrid>
        <w:gridCol w:w="300"/>
        <w:gridCol w:w="6450"/>
      </w:tblGrid>
      <w:tr w:rsidR="00AB1C82" w:rsidRPr="00AB1C82" w:rsidTr="00AB1C82">
        <w:trPr>
          <w:trHeight w:val="450"/>
        </w:trPr>
        <w:tc>
          <w:tcPr>
            <w:tcW w:w="300" w:type="dxa"/>
            <w:vAlign w:val="center"/>
            <w:hideMark/>
          </w:tcPr>
          <w:p w:rsidR="00AB1C82" w:rsidRPr="00AB1C82" w:rsidRDefault="00AB1C82" w:rsidP="00AB1C82">
            <w:pPr>
              <w:widowControl/>
              <w:spacing w:line="402" w:lineRule="atLeast"/>
              <w:rPr>
                <w:rFonts w:ascii="Arial" w:eastAsia="宋体" w:hAnsi="Arial" w:cs="Arial"/>
                <w:color w:val="2E2E2E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noProof/>
                <w:color w:val="6E6E6E"/>
                <w:kern w:val="0"/>
                <w:sz w:val="20"/>
                <w:szCs w:val="20"/>
              </w:rPr>
              <w:drawing>
                <wp:inline distT="0" distB="0" distL="0" distR="0">
                  <wp:extent cx="170180" cy="170180"/>
                  <wp:effectExtent l="19050" t="0" r="1270" b="0"/>
                  <wp:docPr id="1" name="图片 1" descr="http://czj.xinyang.gov.cn/plus/img/addon.gif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zj.xinyang.gov.cn/plus/img/addon.gif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1C82" w:rsidRPr="00AB1C82" w:rsidRDefault="007419D4" w:rsidP="00AB1C82">
            <w:pPr>
              <w:widowControl/>
              <w:spacing w:line="402" w:lineRule="atLeast"/>
              <w:rPr>
                <w:rFonts w:ascii="Arial" w:eastAsia="宋体" w:hAnsi="Arial" w:cs="Arial"/>
                <w:color w:val="2E2E2E"/>
                <w:kern w:val="0"/>
                <w:sz w:val="20"/>
                <w:szCs w:val="20"/>
              </w:rPr>
            </w:pPr>
            <w:hyperlink r:id="rId8" w:tgtFrame="_blank" w:history="1">
              <w:r w:rsidR="00AB1C82" w:rsidRPr="00AB1C82">
                <w:rPr>
                  <w:rFonts w:ascii="Arial" w:eastAsia="宋体" w:hAnsi="Arial" w:cs="Arial"/>
                  <w:color w:val="6E6E6E"/>
                  <w:kern w:val="0"/>
                  <w:sz w:val="20"/>
                  <w:u w:val="single"/>
                </w:rPr>
                <w:t>信阳市机关事务中心</w:t>
              </w:r>
              <w:r w:rsidR="00AB1C82" w:rsidRPr="00AB1C82">
                <w:rPr>
                  <w:rFonts w:ascii="Arial" w:eastAsia="宋体" w:hAnsi="Arial" w:cs="Arial"/>
                  <w:color w:val="6E6E6E"/>
                  <w:kern w:val="0"/>
                  <w:sz w:val="20"/>
                  <w:u w:val="single"/>
                </w:rPr>
                <w:t>2022</w:t>
              </w:r>
              <w:r w:rsidR="00AB1C82" w:rsidRPr="00AB1C82">
                <w:rPr>
                  <w:rFonts w:ascii="Arial" w:eastAsia="宋体" w:hAnsi="Arial" w:cs="Arial"/>
                  <w:color w:val="6E6E6E"/>
                  <w:kern w:val="0"/>
                  <w:sz w:val="20"/>
                  <w:u w:val="single"/>
                </w:rPr>
                <w:t>年度部门预算表</w:t>
              </w:r>
            </w:hyperlink>
          </w:p>
        </w:tc>
      </w:tr>
    </w:tbl>
    <w:p w:rsidR="00FF6C62" w:rsidRDefault="00FF6C62"/>
    <w:sectPr w:rsidR="00FF6C62" w:rsidSect="00FF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01" w:rsidRDefault="00E30A01" w:rsidP="00283E3F">
      <w:r>
        <w:separator/>
      </w:r>
    </w:p>
  </w:endnote>
  <w:endnote w:type="continuationSeparator" w:id="0">
    <w:p w:rsidR="00E30A01" w:rsidRDefault="00E30A01" w:rsidP="0028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01" w:rsidRDefault="00E30A01" w:rsidP="00283E3F">
      <w:r>
        <w:separator/>
      </w:r>
    </w:p>
  </w:footnote>
  <w:footnote w:type="continuationSeparator" w:id="0">
    <w:p w:rsidR="00E30A01" w:rsidRDefault="00E30A01" w:rsidP="00283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C82"/>
    <w:rsid w:val="00283E3F"/>
    <w:rsid w:val="007419D4"/>
    <w:rsid w:val="00AB1C82"/>
    <w:rsid w:val="00E30A01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1C82"/>
    <w:rPr>
      <w:strike w:val="0"/>
      <w:dstrike w:val="0"/>
      <w:color w:val="6E6E6E"/>
      <w:u w:val="none"/>
      <w:effect w:val="none"/>
    </w:rPr>
  </w:style>
  <w:style w:type="character" w:styleId="a4">
    <w:name w:val="Strong"/>
    <w:basedOn w:val="a0"/>
    <w:uiPriority w:val="22"/>
    <w:qFormat/>
    <w:rsid w:val="00AB1C8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B1C8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B1C8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8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83E3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8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83E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045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j.xinyang.gov.cn/uploads/soft/220311/6-2203110U309.xls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j.xinyang.gov.cn/uploads/soft/220311/6-2203110U309.xls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2022-03-16T02:45:00Z</dcterms:created>
  <dcterms:modified xsi:type="dcterms:W3CDTF">2022-03-18T02:12:00Z</dcterms:modified>
</cp:coreProperties>
</file>